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 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207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>Частного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экспертного учреждения «ЦЕНТР СТРОИТЕЛЬНЫХ ЭКСПЕРТИЗ»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Королева Дениса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7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Королев Д.А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Частного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экспертного учреждения «ЦЕНТР СТРОИТЕЛЬНЫХ ЭКСПЕРТИЗ»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 д.13, кв.78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</w:t>
      </w:r>
      <w:r>
        <w:rPr>
          <w:rFonts w:ascii="Times New Roman" w:eastAsia="Times New Roman" w:hAnsi="Times New Roman" w:cs="Times New Roman"/>
        </w:rPr>
        <w:t>01.2024</w:t>
      </w:r>
      <w:r>
        <w:rPr>
          <w:rFonts w:ascii="Times New Roman" w:eastAsia="Times New Roman" w:hAnsi="Times New Roman" w:cs="Times New Roman"/>
        </w:rPr>
        <w:t xml:space="preserve">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месяцев 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Королев Д.А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возражении на протокол об административном правонарушении Королев Д.А. указал, что отчетность в ОСФР была направлена в предусмотренные сроки – 25.01.2024г. через телекоммуникационные</w:t>
      </w:r>
      <w:r>
        <w:rPr>
          <w:rFonts w:ascii="Times New Roman" w:eastAsia="Times New Roman" w:hAnsi="Times New Roman" w:cs="Times New Roman"/>
        </w:rPr>
        <w:t xml:space="preserve"> каналы связи.</w:t>
      </w:r>
      <w:r>
        <w:rPr>
          <w:rFonts w:ascii="Times New Roman" w:eastAsia="Times New Roman" w:hAnsi="Times New Roman" w:cs="Times New Roman"/>
        </w:rPr>
        <w:t xml:space="preserve"> В течении рабочего времени 25.01.2024г. отчет находился в статусе ожидания, а 26.01.2024г. пришел отказ из-за того, что не было направлено заявление о подключении страхователя к электронному документообороту. 29.01.2024г. они направили отчет </w:t>
      </w:r>
      <w:r>
        <w:rPr>
          <w:rFonts w:ascii="Times New Roman" w:eastAsia="Times New Roman" w:hAnsi="Times New Roman" w:cs="Times New Roman"/>
        </w:rPr>
        <w:t>повторно</w:t>
      </w:r>
      <w:r>
        <w:rPr>
          <w:rFonts w:ascii="Times New Roman" w:eastAsia="Times New Roman" w:hAnsi="Times New Roman" w:cs="Times New Roman"/>
        </w:rPr>
        <w:t xml:space="preserve"> и он был принят.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допрошенная в качестве свиде</w:t>
      </w:r>
      <w:r>
        <w:rPr>
          <w:rFonts w:ascii="Times New Roman" w:eastAsia="Times New Roman" w:hAnsi="Times New Roman" w:cs="Times New Roman"/>
        </w:rPr>
        <w:t xml:space="preserve">теля </w:t>
      </w:r>
      <w:r>
        <w:rPr>
          <w:rStyle w:val="cat-UserDefinedgrp-38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пояснила, что она является н</w:t>
      </w:r>
      <w:r>
        <w:rPr>
          <w:rFonts w:ascii="Times New Roman" w:eastAsia="Times New Roman" w:hAnsi="Times New Roman" w:cs="Times New Roman"/>
        </w:rPr>
        <w:t>ачальник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отдела в</w:t>
      </w:r>
      <w:r>
        <w:rPr>
          <w:rFonts w:ascii="Times New Roman" w:eastAsia="Times New Roman" w:hAnsi="Times New Roman" w:cs="Times New Roman"/>
        </w:rPr>
        <w:t xml:space="preserve">заимодействия со страхователями в </w:t>
      </w:r>
      <w:r>
        <w:rPr>
          <w:rFonts w:ascii="Times New Roman" w:eastAsia="Times New Roman" w:hAnsi="Times New Roman" w:cs="Times New Roman"/>
        </w:rPr>
        <w:t>Отделении фонда пенсионного и социального страхования РФ</w:t>
      </w:r>
      <w:r>
        <w:rPr>
          <w:rFonts w:ascii="Times New Roman" w:eastAsia="Times New Roman" w:hAnsi="Times New Roman" w:cs="Times New Roman"/>
        </w:rPr>
        <w:t xml:space="preserve"> по ХМАО –Югре. </w:t>
      </w:r>
      <w:r>
        <w:rPr>
          <w:rFonts w:ascii="Times New Roman" w:eastAsia="Times New Roman" w:hAnsi="Times New Roman" w:cs="Times New Roman"/>
        </w:rPr>
        <w:t>Королев Д.А.</w:t>
      </w:r>
      <w:r>
        <w:rPr>
          <w:rFonts w:ascii="Times New Roman" w:eastAsia="Times New Roman" w:hAnsi="Times New Roman" w:cs="Times New Roman"/>
        </w:rPr>
        <w:t xml:space="preserve"> ей лично не знаком, неприязненных отношений к нему не имеет.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адрес ОСФР по ХМАО-Югре</w:t>
      </w:r>
      <w:r>
        <w:rPr>
          <w:rFonts w:ascii="Times New Roman" w:eastAsia="Times New Roman" w:hAnsi="Times New Roman" w:cs="Times New Roman"/>
        </w:rPr>
        <w:t xml:space="preserve"> первый документы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Частного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экспертного</w:t>
      </w:r>
      <w:r>
        <w:rPr>
          <w:rFonts w:ascii="Times New Roman" w:eastAsia="Times New Roman" w:hAnsi="Times New Roman" w:cs="Times New Roman"/>
        </w:rPr>
        <w:t xml:space="preserve"> учреждения «ЦЕНТР СТРОИТЕЛЬНЫХ ЭКСПЕРТИЗ» </w:t>
      </w:r>
      <w:r>
        <w:rPr>
          <w:rFonts w:ascii="Times New Roman" w:eastAsia="Times New Roman" w:hAnsi="Times New Roman" w:cs="Times New Roman"/>
        </w:rPr>
        <w:t>поступили только 26.01.2024г. – это заявление на подключение страхователя к электронному документообороту.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29.01.2024г. поступил отчет ЕФС -1. </w:t>
      </w:r>
      <w:r>
        <w:rPr>
          <w:rFonts w:ascii="Times New Roman" w:eastAsia="Times New Roman" w:hAnsi="Times New Roman" w:cs="Times New Roman"/>
        </w:rPr>
        <w:t>Отчет ЕФС-1 с</w:t>
      </w:r>
      <w:r>
        <w:rPr>
          <w:rFonts w:ascii="Times New Roman" w:eastAsia="Times New Roman" w:hAnsi="Times New Roman" w:cs="Times New Roman"/>
        </w:rPr>
        <w:t>остоит из трех разделов.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Отчет можно сдавать по отдельности </w:t>
      </w:r>
      <w:r>
        <w:rPr>
          <w:rFonts w:ascii="Times New Roman" w:eastAsia="Times New Roman" w:hAnsi="Times New Roman" w:cs="Times New Roman"/>
        </w:rPr>
        <w:t>каждый раздел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Согласно представленных Королевым</w:t>
      </w:r>
      <w:r>
        <w:rPr>
          <w:rFonts w:ascii="Times New Roman" w:eastAsia="Times New Roman" w:hAnsi="Times New Roman" w:cs="Times New Roman"/>
        </w:rPr>
        <w:t xml:space="preserve"> Д.А.</w:t>
      </w:r>
      <w:r>
        <w:rPr>
          <w:rFonts w:ascii="Times New Roman" w:eastAsia="Times New Roman" w:hAnsi="Times New Roman" w:cs="Times New Roman"/>
        </w:rPr>
        <w:t xml:space="preserve"> документов </w:t>
      </w:r>
      <w:r>
        <w:rPr>
          <w:rFonts w:ascii="Times New Roman" w:eastAsia="Times New Roman" w:hAnsi="Times New Roman" w:cs="Times New Roman"/>
        </w:rPr>
        <w:t>25.01.20</w:t>
      </w:r>
      <w:r>
        <w:rPr>
          <w:rFonts w:ascii="Times New Roman" w:eastAsia="Times New Roman" w:hAnsi="Times New Roman" w:cs="Times New Roman"/>
        </w:rPr>
        <w:t xml:space="preserve">24г. они </w:t>
      </w:r>
      <w:r>
        <w:rPr>
          <w:rFonts w:ascii="Times New Roman" w:eastAsia="Times New Roman" w:hAnsi="Times New Roman" w:cs="Times New Roman"/>
        </w:rPr>
        <w:t>направили</w:t>
      </w:r>
      <w:r>
        <w:rPr>
          <w:rFonts w:ascii="Times New Roman" w:eastAsia="Times New Roman" w:hAnsi="Times New Roman" w:cs="Times New Roman"/>
        </w:rPr>
        <w:t xml:space="preserve"> подраздел 1.2 отчета (стаж), но им было отклонено отправление отчета. </w:t>
      </w:r>
      <w:r>
        <w:rPr>
          <w:rFonts w:ascii="Times New Roman" w:eastAsia="Times New Roman" w:hAnsi="Times New Roman" w:cs="Times New Roman"/>
        </w:rPr>
        <w:t xml:space="preserve">29.01.2024г. </w:t>
      </w:r>
      <w:r>
        <w:rPr>
          <w:rFonts w:ascii="Times New Roman" w:eastAsia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направлен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подраздел</w:t>
      </w:r>
      <w:r>
        <w:rPr>
          <w:rFonts w:ascii="Times New Roman" w:eastAsia="Times New Roman" w:hAnsi="Times New Roman" w:cs="Times New Roman"/>
        </w:rPr>
        <w:t xml:space="preserve"> 2.1.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2.3 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отчет </w:t>
      </w:r>
      <w:r>
        <w:rPr>
          <w:rFonts w:ascii="Times New Roman" w:eastAsia="Times New Roman" w:hAnsi="Times New Roman" w:cs="Times New Roman"/>
        </w:rPr>
        <w:t xml:space="preserve">был принят ОСФР. Указанная организация могла сдать отчеты и на бумажном носителе, а не посредством электронного </w:t>
      </w:r>
      <w:r>
        <w:rPr>
          <w:rFonts w:ascii="Times New Roman" w:eastAsia="Times New Roman" w:hAnsi="Times New Roman" w:cs="Times New Roman"/>
        </w:rPr>
        <w:t>взаимодействия</w:t>
      </w:r>
      <w:r>
        <w:rPr>
          <w:rFonts w:ascii="Times New Roman" w:eastAsia="Times New Roman" w:hAnsi="Times New Roman" w:cs="Times New Roman"/>
        </w:rPr>
        <w:t xml:space="preserve">. Однако они этого не сделали. Отклонение </w:t>
      </w:r>
      <w:r>
        <w:rPr>
          <w:rFonts w:ascii="Times New Roman" w:eastAsia="Times New Roman" w:hAnsi="Times New Roman" w:cs="Times New Roman"/>
        </w:rPr>
        <w:t xml:space="preserve">принятия отчета </w:t>
      </w:r>
      <w:r>
        <w:rPr>
          <w:rFonts w:ascii="Times New Roman" w:eastAsia="Times New Roman" w:hAnsi="Times New Roman" w:cs="Times New Roman"/>
        </w:rPr>
        <w:t>происходит не ОСФР, а провайдерами.</w:t>
      </w:r>
      <w:r>
        <w:rPr>
          <w:rFonts w:ascii="Times New Roman" w:eastAsia="Times New Roman" w:hAnsi="Times New Roman" w:cs="Times New Roman"/>
        </w:rPr>
        <w:t xml:space="preserve"> В их адрес 25.01.2024г.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астного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экспертного</w:t>
      </w:r>
      <w:r>
        <w:rPr>
          <w:rFonts w:ascii="Times New Roman" w:eastAsia="Times New Roman" w:hAnsi="Times New Roman" w:cs="Times New Roman"/>
        </w:rPr>
        <w:t xml:space="preserve"> учреждения «ЦЕНТР СТРОИТЕЛЬНЫХ ЭКСПЕРТИЗ»</w:t>
      </w:r>
      <w:r>
        <w:rPr>
          <w:rFonts w:ascii="Times New Roman" w:eastAsia="Times New Roman" w:hAnsi="Times New Roman" w:cs="Times New Roman"/>
        </w:rPr>
        <w:t xml:space="preserve"> никакие документы не поступали.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Заслушав свидетеля, 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Частью </w:t>
      </w:r>
      <w:r>
        <w:rPr>
          <w:rFonts w:ascii="Times New Roman" w:eastAsia="Times New Roman" w:hAnsi="Times New Roman" w:cs="Times New Roman"/>
        </w:rPr>
        <w:t>2 ст</w:t>
      </w:r>
      <w:r>
        <w:rPr>
          <w:rFonts w:ascii="Times New Roman" w:eastAsia="Times New Roman" w:hAnsi="Times New Roman" w:cs="Times New Roman"/>
        </w:rPr>
        <w:t xml:space="preserve">атьи </w:t>
      </w:r>
      <w:r>
        <w:rPr>
          <w:rFonts w:ascii="Times New Roman" w:eastAsia="Times New Roman" w:hAnsi="Times New Roman" w:cs="Times New Roman"/>
        </w:rPr>
        <w:t xml:space="preserve">15.33 КоАП РФ </w:t>
      </w:r>
      <w:r>
        <w:rPr>
          <w:rFonts w:ascii="Times New Roman" w:eastAsia="Times New Roman" w:hAnsi="Times New Roman" w:cs="Times New Roman"/>
        </w:rPr>
        <w:t>предусмотрена ответственность за н</w:t>
      </w:r>
      <w:r>
        <w:rPr>
          <w:rFonts w:ascii="Times New Roman" w:eastAsia="Times New Roman" w:hAnsi="Times New Roman" w:cs="Times New Roman"/>
        </w:rPr>
        <w:t xml:space="preserve"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</w:t>
      </w:r>
      <w:r>
        <w:rPr>
          <w:rFonts w:ascii="Times New Roman" w:eastAsia="Times New Roman" w:hAnsi="Times New Roman" w:cs="Times New Roman"/>
        </w:rPr>
        <w:t>страхования Российской Федерации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Королева Д.А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27.02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отчетом о принятии сведений </w:t>
      </w:r>
      <w:r>
        <w:rPr>
          <w:rFonts w:ascii="Times New Roman" w:eastAsia="Times New Roman" w:hAnsi="Times New Roman" w:cs="Times New Roman"/>
        </w:rPr>
        <w:t>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</w:rPr>
        <w:t>, согласно которого сведения поступили 29.01.2024г.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27.02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, согласно которой Королев Д.А является директором </w:t>
      </w:r>
      <w:r>
        <w:rPr>
          <w:rFonts w:ascii="Times New Roman" w:eastAsia="Times New Roman" w:hAnsi="Times New Roman" w:cs="Times New Roman"/>
        </w:rPr>
        <w:t>Частного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экспертного</w:t>
      </w:r>
      <w:r>
        <w:rPr>
          <w:rFonts w:ascii="Times New Roman" w:eastAsia="Times New Roman" w:hAnsi="Times New Roman" w:cs="Times New Roman"/>
        </w:rPr>
        <w:t xml:space="preserve"> учреждения «ЦЕНТР СТРОИТЕЛЬНЫХ ЭКСПЕРТИЗ»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Доводы Королева Д.А. </w:t>
      </w:r>
      <w:r>
        <w:rPr>
          <w:rFonts w:ascii="Times New Roman" w:eastAsia="Times New Roman" w:hAnsi="Times New Roman" w:cs="Times New Roman"/>
        </w:rPr>
        <w:t xml:space="preserve">о своевременном направлении </w:t>
      </w:r>
      <w:r>
        <w:rPr>
          <w:rFonts w:ascii="Times New Roman" w:eastAsia="Times New Roman" w:hAnsi="Times New Roman" w:cs="Times New Roman"/>
        </w:rPr>
        <w:t>сведени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о начисленных страховых взносах в составе единой формы ЕФС-1</w:t>
      </w:r>
      <w:r>
        <w:rPr>
          <w:rFonts w:ascii="Times New Roman" w:eastAsia="Times New Roman" w:hAnsi="Times New Roman" w:cs="Times New Roman"/>
        </w:rPr>
        <w:t xml:space="preserve"> опровергаются объяснениями свидетеля </w:t>
      </w:r>
      <w:r>
        <w:rPr>
          <w:rStyle w:val="cat-UserDefinedgrp-39rplc-4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и письменными материалами дела.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 согласно представленных Королевым Д.А. документов, следует, что 25.01.2024г. направленная единая форма ЕФС-1 не была принята, а была отклонена в 14 часов 06 минут 25.01.2024г. </w:t>
      </w:r>
      <w:r>
        <w:rPr>
          <w:rFonts w:ascii="Times New Roman" w:eastAsia="Times New Roman" w:hAnsi="Times New Roman" w:cs="Times New Roman"/>
        </w:rPr>
        <w:t xml:space="preserve">При этом 25.01.2024г. был направлен только </w:t>
      </w:r>
      <w:r>
        <w:rPr>
          <w:rFonts w:ascii="Times New Roman" w:eastAsia="Times New Roman" w:hAnsi="Times New Roman" w:cs="Times New Roman"/>
        </w:rPr>
        <w:t>подраздел 1.2 отчета (</w:t>
      </w:r>
      <w:r>
        <w:rPr>
          <w:rFonts w:ascii="Times New Roman" w:eastAsia="Times New Roman" w:hAnsi="Times New Roman" w:cs="Times New Roman"/>
        </w:rPr>
        <w:t>сведения о страховом стаже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одраздел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2.1.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2.3</w:t>
      </w:r>
      <w:r>
        <w:rPr>
          <w:rFonts w:ascii="Times New Roman" w:eastAsia="Times New Roman" w:hAnsi="Times New Roman" w:cs="Times New Roman"/>
        </w:rPr>
        <w:t xml:space="preserve"> раздела 2 (</w:t>
      </w:r>
      <w:r>
        <w:rPr>
          <w:rFonts w:ascii="Times New Roman" w:eastAsia="Times New Roman" w:hAnsi="Times New Roman" w:cs="Times New Roman"/>
        </w:rPr>
        <w:t>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</w:rPr>
        <w:t>) были направлены только 29.01.2024г. и</w:t>
      </w:r>
      <w:r>
        <w:rPr>
          <w:rFonts w:ascii="Times New Roman" w:eastAsia="Times New Roman" w:hAnsi="Times New Roman" w:cs="Times New Roman"/>
        </w:rPr>
        <w:t xml:space="preserve"> принят ОСФР.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истории обращений в </w:t>
      </w:r>
      <w:r>
        <w:rPr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ОСФР</w:t>
      </w:r>
      <w:r>
        <w:rPr>
          <w:rFonts w:ascii="Times New Roman" w:eastAsia="Times New Roman" w:hAnsi="Times New Roman" w:cs="Times New Roman"/>
        </w:rPr>
        <w:t xml:space="preserve">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25.01.2024г. единая форма ЕФС-1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Частного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экспертного учреждения «ЦЕНТР СТРОИТЕЛЬНЫХ ЭКСПЕРТИЗ»</w:t>
      </w:r>
      <w:r>
        <w:rPr>
          <w:rFonts w:ascii="Times New Roman" w:eastAsia="Times New Roman" w:hAnsi="Times New Roman" w:cs="Times New Roman"/>
        </w:rPr>
        <w:t xml:space="preserve"> не поступала. Только 26.01.2024г. поступило заявл</w:t>
      </w:r>
      <w:r>
        <w:rPr>
          <w:rFonts w:ascii="Times New Roman" w:eastAsia="Times New Roman" w:hAnsi="Times New Roman" w:cs="Times New Roman"/>
        </w:rPr>
        <w:t xml:space="preserve">ение страхователя к электронному документообороту СФР.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 виновность Королева Д.А. в </w:t>
      </w:r>
      <w:r>
        <w:rPr>
          <w:rFonts w:ascii="Times New Roman" w:eastAsia="Times New Roman" w:hAnsi="Times New Roman" w:cs="Times New Roman"/>
        </w:rPr>
        <w:t>нарушени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</w:rPr>
        <w:t xml:space="preserve"> нашла свое подтверждение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141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ействие </w:t>
      </w:r>
      <w:r>
        <w:rPr>
          <w:rFonts w:ascii="Times New Roman" w:eastAsia="Times New Roman" w:hAnsi="Times New Roman" w:cs="Times New Roman"/>
        </w:rPr>
        <w:t>Королева Д.А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Определяя вид и меру наказания нарушителю, суд учитывает личность правонарушителя,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>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>Частного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экспертного</w:t>
      </w:r>
      <w:r>
        <w:rPr>
          <w:rFonts w:ascii="Times New Roman" w:eastAsia="Times New Roman" w:hAnsi="Times New Roman" w:cs="Times New Roman"/>
        </w:rPr>
        <w:t xml:space="preserve"> учреждения «ЦЕНТР СТРОИТЕЛЬНЫХ ЭКСПЕРТИЗ»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Королева Дениса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702240064110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40rplc-7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39rplc-49">
    <w:name w:val="cat-UserDefined grp-39 rplc-49"/>
    <w:basedOn w:val="DefaultParagraphFont"/>
  </w:style>
  <w:style w:type="character" w:customStyle="1" w:styleId="cat-UserDefinedgrp-40rplc-70">
    <w:name w:val="cat-UserDefined grp-40 rplc-7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